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4B" w:rsidRDefault="00F92740" w:rsidP="00F92740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F92740">
        <w:rPr>
          <w:rFonts w:ascii="Arial Black" w:hAnsi="Arial Black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75pt;margin-top:10.65pt;width:148.9pt;height:86.25pt;z-index:251660288;mso-width-relative:margin;mso-height-relative:margin">
            <v:textbox>
              <w:txbxContent>
                <w:p w:rsidR="00F92740" w:rsidRPr="00F92740" w:rsidRDefault="00F92740" w:rsidP="00F927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92740">
                    <w:rPr>
                      <w:b/>
                    </w:rPr>
                    <w:t>NEED HELP?</w:t>
                  </w:r>
                </w:p>
                <w:p w:rsidR="00F92740" w:rsidRPr="00F92740" w:rsidRDefault="00F92740" w:rsidP="00F927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92740">
                    <w:rPr>
                      <w:b/>
                    </w:rPr>
                    <w:t>CONTACT US:</w:t>
                  </w:r>
                </w:p>
                <w:p w:rsidR="00F92740" w:rsidRPr="00F92740" w:rsidRDefault="00F92740" w:rsidP="00F927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92740">
                    <w:rPr>
                      <w:b/>
                    </w:rPr>
                    <w:t>www.navigatingreentry.org</w:t>
                  </w:r>
                </w:p>
                <w:p w:rsidR="00F92740" w:rsidRPr="00F92740" w:rsidRDefault="00F92740" w:rsidP="00F927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92740">
                    <w:rPr>
                      <w:b/>
                    </w:rPr>
                    <w:t>info@navigatingreentry.org</w:t>
                  </w:r>
                </w:p>
                <w:p w:rsidR="00F92740" w:rsidRPr="00F92740" w:rsidRDefault="00F92740" w:rsidP="00F9274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92740">
                    <w:rPr>
                      <w:b/>
                    </w:rPr>
                    <w:t>443-945-9713</w:t>
                  </w:r>
                </w:p>
                <w:p w:rsidR="00F92740" w:rsidRDefault="00F92740" w:rsidP="00F92740">
                  <w:pPr>
                    <w:spacing w:after="0" w:line="240" w:lineRule="auto"/>
                    <w:jc w:val="center"/>
                  </w:pPr>
                  <w:r w:rsidRPr="00F92740">
                    <w:rPr>
                      <w:b/>
                    </w:rPr>
                    <w:t>or CHAT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628650" cy="628650"/>
            <wp:effectExtent l="19050" t="0" r="0" b="0"/>
            <wp:docPr id="1" name="Picture 0" descr="cropped-navigating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navigatinglogo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2" cy="628572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F92740" w:rsidRDefault="00F92740" w:rsidP="00F9274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NAVIGATING BARRIERS TO REENTRY</w:t>
      </w:r>
    </w:p>
    <w:p w:rsidR="00F92740" w:rsidRPr="00F92740" w:rsidRDefault="00F92740" w:rsidP="00F9274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Opening Doors To Success</w:t>
      </w:r>
    </w:p>
    <w:p w:rsidR="00F92740" w:rsidRDefault="00F92740" w:rsidP="00F92740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5pt;margin-top:7.15pt;width:245.25pt;height:0;z-index:251658240" o:connectortype="straight"/>
        </w:pict>
      </w:r>
    </w:p>
    <w:p w:rsidR="00F92740" w:rsidRPr="00F92740" w:rsidRDefault="00F92740" w:rsidP="00C07C9E">
      <w:pPr>
        <w:jc w:val="center"/>
        <w:rPr>
          <w:rFonts w:ascii="Cooper Std Black" w:hAnsi="Cooper Std Black"/>
          <w:sz w:val="16"/>
          <w:szCs w:val="16"/>
        </w:rPr>
      </w:pPr>
    </w:p>
    <w:p w:rsidR="00F92740" w:rsidRPr="00F92740" w:rsidRDefault="00C07C9E" w:rsidP="00F92740">
      <w:pPr>
        <w:jc w:val="center"/>
        <w:rPr>
          <w:rFonts w:ascii="Cooper Std Black" w:hAnsi="Cooper Std Black"/>
          <w:sz w:val="28"/>
          <w:szCs w:val="28"/>
        </w:rPr>
      </w:pPr>
      <w:r w:rsidRPr="00F92740">
        <w:rPr>
          <w:rFonts w:ascii="Cooper Std Black" w:hAnsi="Cooper Std Black"/>
          <w:sz w:val="28"/>
          <w:szCs w:val="28"/>
        </w:rPr>
        <w:t>EXPUNGEMENT CHECKLIST</w:t>
      </w:r>
    </w:p>
    <w:p w:rsidR="00C07C9E" w:rsidRPr="00F92740" w:rsidRDefault="00C07C9E" w:rsidP="00C07C9E">
      <w:pPr>
        <w:rPr>
          <w:rFonts w:ascii="Arial" w:hAnsi="Arial" w:cs="Arial"/>
          <w:sz w:val="18"/>
          <w:szCs w:val="18"/>
        </w:rPr>
      </w:pPr>
      <w:r w:rsidRPr="00F92740">
        <w:rPr>
          <w:rFonts w:ascii="Arial" w:hAnsi="Arial" w:cs="Arial"/>
          <w:sz w:val="18"/>
          <w:szCs w:val="18"/>
        </w:rPr>
        <w:t>Use this checklist to help you evaluate whether or not you can expunge a record.</w:t>
      </w:r>
    </w:p>
    <w:p w:rsidR="00CE5F4B" w:rsidRPr="00F92740" w:rsidRDefault="000A4062" w:rsidP="00C07C9E">
      <w:pPr>
        <w:rPr>
          <w:rFonts w:ascii="Arial" w:hAnsi="Arial" w:cs="Arial"/>
          <w:sz w:val="18"/>
          <w:szCs w:val="18"/>
        </w:rPr>
      </w:pPr>
      <w:r w:rsidRPr="00376751">
        <w:rPr>
          <w:rFonts w:ascii="Arial" w:hAnsi="Arial" w:cs="Arial"/>
          <w:b/>
          <w:sz w:val="18"/>
          <w:szCs w:val="18"/>
        </w:rPr>
        <w:t>Case Number</w:t>
      </w:r>
      <w:r w:rsidRPr="00F92740">
        <w:rPr>
          <w:rFonts w:ascii="Arial" w:hAnsi="Arial" w:cs="Arial"/>
          <w:sz w:val="18"/>
          <w:szCs w:val="18"/>
        </w:rPr>
        <w:t xml:space="preserve">_________________       </w:t>
      </w:r>
      <w:r w:rsidRPr="00376751">
        <w:rPr>
          <w:rFonts w:ascii="Arial" w:hAnsi="Arial" w:cs="Arial"/>
          <w:b/>
          <w:sz w:val="18"/>
          <w:szCs w:val="18"/>
        </w:rPr>
        <w:t>District Code</w:t>
      </w:r>
      <w:r w:rsidRPr="00F92740">
        <w:rPr>
          <w:rFonts w:ascii="Arial" w:hAnsi="Arial" w:cs="Arial"/>
          <w:sz w:val="18"/>
          <w:szCs w:val="18"/>
        </w:rPr>
        <w:t>________________</w:t>
      </w:r>
    </w:p>
    <w:p w:rsidR="00F92740" w:rsidRPr="00F92740" w:rsidRDefault="00527B66" w:rsidP="00C07C9E">
      <w:pPr>
        <w:rPr>
          <w:rFonts w:ascii="Arial" w:hAnsi="Arial" w:cs="Arial"/>
          <w:b/>
          <w:i/>
          <w:sz w:val="18"/>
          <w:szCs w:val="18"/>
        </w:rPr>
      </w:pPr>
      <w:r w:rsidRPr="00F92740">
        <w:rPr>
          <w:rFonts w:ascii="Arial" w:hAnsi="Arial" w:cs="Arial"/>
          <w:b/>
          <w:i/>
          <w:sz w:val="18"/>
          <w:szCs w:val="18"/>
        </w:rPr>
        <w:t>Note that time begins counting AFTER you complete your sentence, including probation or court-ordered treatment.</w:t>
      </w:r>
    </w:p>
    <w:tbl>
      <w:tblPr>
        <w:tblStyle w:val="TableGrid"/>
        <w:tblW w:w="10044" w:type="dxa"/>
        <w:tblLayout w:type="fixed"/>
        <w:tblLook w:val="04A0"/>
      </w:tblPr>
      <w:tblGrid>
        <w:gridCol w:w="1638"/>
        <w:gridCol w:w="5670"/>
        <w:gridCol w:w="900"/>
        <w:gridCol w:w="900"/>
        <w:gridCol w:w="936"/>
      </w:tblGrid>
      <w:tr w:rsidR="005338EB" w:rsidTr="005338EB">
        <w:tc>
          <w:tcPr>
            <w:tcW w:w="1638" w:type="dxa"/>
          </w:tcPr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8EB" w:rsidRPr="000A4062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062">
              <w:rPr>
                <w:rFonts w:ascii="Arial" w:hAnsi="Arial" w:cs="Arial"/>
                <w:b/>
                <w:sz w:val="20"/>
                <w:szCs w:val="20"/>
              </w:rPr>
              <w:t>Case Disposition</w:t>
            </w:r>
          </w:p>
        </w:tc>
        <w:tc>
          <w:tcPr>
            <w:tcW w:w="567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8B32CD" w:rsidRPr="008B32CD" w:rsidRDefault="008B32CD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062">
              <w:rPr>
                <w:rFonts w:ascii="Arial" w:hAnsi="Arial" w:cs="Arial"/>
                <w:b/>
                <w:sz w:val="20"/>
                <w:szCs w:val="20"/>
              </w:rPr>
              <w:t>3 yr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</w:t>
            </w:r>
          </w:p>
          <w:p w:rsidR="005338EB" w:rsidRPr="000A4062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Later</w:t>
            </w:r>
          </w:p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</w:t>
            </w:r>
            <w:proofErr w:type="spellEnd"/>
          </w:p>
          <w:p w:rsidR="005338EB" w:rsidRPr="000A4062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8EB" w:rsidRPr="000A4062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062">
              <w:rPr>
                <w:rFonts w:ascii="Arial" w:hAnsi="Arial" w:cs="Arial"/>
                <w:b/>
                <w:sz w:val="20"/>
                <w:szCs w:val="20"/>
              </w:rPr>
              <w:t>Eligible</w:t>
            </w:r>
          </w:p>
          <w:p w:rsidR="005338EB" w:rsidRPr="000A4062" w:rsidRDefault="005338EB" w:rsidP="00C0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062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5338EB" w:rsidTr="008B32CD">
        <w:trPr>
          <w:trHeight w:val="152"/>
        </w:trPr>
        <w:tc>
          <w:tcPr>
            <w:tcW w:w="1638" w:type="dxa"/>
            <w:shd w:val="clear" w:color="auto" w:fill="FFFFFF" w:themeFill="background1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EA530C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Not Guilty</w:t>
            </w:r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You were acquitted - found not guilty</w:t>
            </w:r>
          </w:p>
        </w:tc>
        <w:tc>
          <w:tcPr>
            <w:tcW w:w="900" w:type="dxa"/>
            <w:shd w:val="clear" w:color="auto" w:fill="EEECE1" w:themeFill="background2"/>
          </w:tcPr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EA530C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Dismissed</w:t>
            </w:r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Your charge was dismissed</w:t>
            </w:r>
          </w:p>
        </w:tc>
        <w:tc>
          <w:tcPr>
            <w:tcW w:w="900" w:type="dxa"/>
            <w:shd w:val="clear" w:color="auto" w:fill="EEECE1" w:themeFill="background2"/>
          </w:tcPr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EA530C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Nolle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Prosequi</w:t>
            </w:r>
            <w:proofErr w:type="spellEnd"/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Nolle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Prosequi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or "Noll Pros" was entered in your case. This is when the prosecutor decides to drop the case either before or during trial)</w:t>
            </w:r>
          </w:p>
        </w:tc>
        <w:tc>
          <w:tcPr>
            <w:tcW w:w="900" w:type="dxa"/>
            <w:shd w:val="clear" w:color="auto" w:fill="EEECE1" w:themeFill="background2"/>
          </w:tcPr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5338EB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Stet</w:t>
            </w:r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Your case was indefinitely postponed - or placed on the "stet docket"</w:t>
            </w:r>
          </w:p>
        </w:tc>
        <w:tc>
          <w:tcPr>
            <w:tcW w:w="900" w:type="dxa"/>
          </w:tcPr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1B0" w:rsidRPr="00F92740" w:rsidRDefault="00A001B0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5338EB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PBJ</w:t>
            </w:r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You received Probation Before Judgment - (except for certain alcohol-related driving offenses)</w:t>
            </w:r>
          </w:p>
          <w:p w:rsidR="00A001B0" w:rsidRPr="00F92740" w:rsidRDefault="00A001B0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A001B0" w:rsidRPr="00F92740" w:rsidRDefault="00A001B0" w:rsidP="000A406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NOTE:  </w:t>
            </w:r>
            <w:r w:rsidRPr="00F92740">
              <w:rPr>
                <w:rFonts w:ascii="Arial" w:hAnsi="Arial" w:cs="Arial"/>
                <w:i/>
                <w:sz w:val="18"/>
                <w:szCs w:val="18"/>
              </w:rPr>
              <w:t>Your PBJ case cannot be expunged if you have a subsequent conviction (other than minor traffic offense) OR if you are a defendant in a criminal case.</w:t>
            </w:r>
          </w:p>
        </w:tc>
        <w:tc>
          <w:tcPr>
            <w:tcW w:w="900" w:type="dxa"/>
          </w:tcPr>
          <w:p w:rsidR="005338EB" w:rsidRPr="00F92740" w:rsidRDefault="005338E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EA530C">
        <w:tc>
          <w:tcPr>
            <w:tcW w:w="1638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Moved to Juvenile Court</w:t>
            </w:r>
          </w:p>
        </w:tc>
        <w:tc>
          <w:tcPr>
            <w:tcW w:w="5670" w:type="dxa"/>
          </w:tcPr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0A4062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 xml:space="preserve">If your case started in adult court, but was moved to juvenile court, you have two records - a criminal record and a juvenile record.  Juvenile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expungement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will be discussed in another section.</w:t>
            </w:r>
          </w:p>
        </w:tc>
        <w:tc>
          <w:tcPr>
            <w:tcW w:w="900" w:type="dxa"/>
            <w:shd w:val="clear" w:color="auto" w:fill="EEECE1" w:themeFill="background2"/>
          </w:tcPr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EA530C">
        <w:tc>
          <w:tcPr>
            <w:tcW w:w="1638" w:type="dxa"/>
          </w:tcPr>
          <w:p w:rsidR="005338EB" w:rsidRPr="00F92740" w:rsidRDefault="005338EB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9D3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Not Criminally Responsible</w:t>
            </w:r>
          </w:p>
        </w:tc>
        <w:tc>
          <w:tcPr>
            <w:tcW w:w="5670" w:type="dxa"/>
          </w:tcPr>
          <w:p w:rsidR="005338EB" w:rsidRPr="00F92740" w:rsidRDefault="005338EB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8EB" w:rsidRPr="00F92740" w:rsidRDefault="005338EB" w:rsidP="009D3810">
            <w:p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For one of these charges: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urination or defecation in a public place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 xml:space="preserve">panhandling or soliciting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moe</w:t>
            </w:r>
            <w:proofErr w:type="spellEnd"/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drinking an alcoholic beverage in a public place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obstructing the free passage of another in a public place or public conveyance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sleeping on or in park structures (benches, doorways)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loitering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vagrancy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trespass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telephone misuse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disturbing the peace</w:t>
            </w:r>
          </w:p>
          <w:p w:rsidR="005338EB" w:rsidRPr="00F92740" w:rsidRDefault="005338EB" w:rsidP="003845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riding a transit vehicle without paying the applicable fare or exhibiting proof of payment</w:t>
            </w:r>
          </w:p>
          <w:p w:rsidR="00CE5F4B" w:rsidRPr="00F92740" w:rsidRDefault="005338EB" w:rsidP="00CE5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 xml:space="preserve">certain other transportation charges (Md. Code,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Transp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7-705)</w:t>
            </w:r>
            <w:r w:rsidR="00CE5F4B" w:rsidRPr="00F92740">
              <w:rPr>
                <w:rFonts w:ascii="Arial" w:hAnsi="Arial" w:cs="Arial"/>
                <w:sz w:val="18"/>
                <w:szCs w:val="18"/>
              </w:rPr>
              <w:t>.  See attached list.</w:t>
            </w:r>
          </w:p>
        </w:tc>
        <w:tc>
          <w:tcPr>
            <w:tcW w:w="900" w:type="dxa"/>
            <w:shd w:val="clear" w:color="auto" w:fill="EEECE1" w:themeFill="background2"/>
          </w:tcPr>
          <w:p w:rsidR="005338EB" w:rsidRPr="00F92740" w:rsidRDefault="005338E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A001B0" w:rsidRPr="00F92740" w:rsidRDefault="00A001B0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</w:tcPr>
          <w:p w:rsidR="005338EB" w:rsidRDefault="005338EB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D1691" w:rsidTr="00DD1691">
        <w:tc>
          <w:tcPr>
            <w:tcW w:w="1638" w:type="dxa"/>
            <w:shd w:val="clear" w:color="auto" w:fill="EEECE1" w:themeFill="background2"/>
          </w:tcPr>
          <w:p w:rsidR="00DD1691" w:rsidRDefault="00DD1691" w:rsidP="009D381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EECE1" w:themeFill="background2"/>
          </w:tcPr>
          <w:p w:rsidR="00DD1691" w:rsidRDefault="00DD1691" w:rsidP="009D381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DD1691" w:rsidRDefault="00DD1691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DD1691" w:rsidRDefault="00DD1691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EECE1" w:themeFill="background2"/>
          </w:tcPr>
          <w:p w:rsidR="00DD1691" w:rsidRDefault="00DD1691" w:rsidP="00C07C9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38EB" w:rsidTr="008B32CD">
        <w:tc>
          <w:tcPr>
            <w:tcW w:w="1638" w:type="dxa"/>
          </w:tcPr>
          <w:p w:rsidR="005338EB" w:rsidRPr="00F92740" w:rsidRDefault="005338EB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B66" w:rsidRPr="00F92740" w:rsidRDefault="00527B66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B66" w:rsidRPr="00F92740" w:rsidRDefault="00527B66" w:rsidP="00527B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92740">
              <w:rPr>
                <w:rFonts w:ascii="Arial" w:hAnsi="Arial" w:cs="Arial"/>
                <w:b/>
                <w:sz w:val="18"/>
                <w:szCs w:val="18"/>
              </w:rPr>
              <w:t xml:space="preserve"> YEARS HAVE PASSED</w:t>
            </w:r>
          </w:p>
        </w:tc>
        <w:tc>
          <w:tcPr>
            <w:tcW w:w="5670" w:type="dxa"/>
          </w:tcPr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38EB" w:rsidRPr="00F92740" w:rsidRDefault="00CE5F4B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If you were found guilty of one of these charges, you may request an </w:t>
            </w: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expungement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if 3 years have passed af</w:t>
            </w:r>
            <w:r w:rsidR="00EA530C" w:rsidRPr="00F92740">
              <w:rPr>
                <w:rFonts w:ascii="Arial" w:hAnsi="Arial" w:cs="Arial"/>
                <w:b/>
                <w:sz w:val="18"/>
                <w:szCs w:val="18"/>
              </w:rPr>
              <w:t>ter the guilty conviction and</w:t>
            </w: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the satisfactory completion of the sentence including probation and any treatment programs.</w:t>
            </w:r>
          </w:p>
        </w:tc>
        <w:tc>
          <w:tcPr>
            <w:tcW w:w="900" w:type="dxa"/>
          </w:tcPr>
          <w:p w:rsidR="005338EB" w:rsidRPr="00F92740" w:rsidRDefault="005338E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3 yrs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Past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900" w:type="dxa"/>
            <w:shd w:val="clear" w:color="auto" w:fill="FFFFFF" w:themeFill="background1"/>
          </w:tcPr>
          <w:p w:rsidR="00EA530C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Convic</w:t>
            </w:r>
            <w:proofErr w:type="spellEnd"/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during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wait period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936" w:type="dxa"/>
          </w:tcPr>
          <w:p w:rsidR="005338EB" w:rsidRPr="00F92740" w:rsidRDefault="005338E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Eligible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</w:tr>
      <w:tr w:rsidR="00CE5F4B" w:rsidTr="005338EB">
        <w:tc>
          <w:tcPr>
            <w:tcW w:w="1638" w:type="dxa"/>
          </w:tcPr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CE5F4B" w:rsidRPr="00F92740" w:rsidRDefault="00CE5F4B" w:rsidP="009D3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Guilty</w:t>
            </w:r>
          </w:p>
        </w:tc>
        <w:tc>
          <w:tcPr>
            <w:tcW w:w="5670" w:type="dxa"/>
          </w:tcPr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urination or defecation in a public place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panhandling or soliciting money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drinking an alcoholic beverage in a public place.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 xml:space="preserve">obstructing the free passage of another in a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publi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place or public conveyance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sleeping on or in park structures (benches, doorways)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loitering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vagrancy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riding a transit vehicle without paying the applicable fare or exhibiting proof of payment</w:t>
            </w:r>
          </w:p>
          <w:p w:rsidR="00CE5F4B" w:rsidRPr="00F92740" w:rsidRDefault="00CE5F4B" w:rsidP="00CE5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certain other transportation charges (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Md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, Code </w:t>
            </w:r>
            <w:proofErr w:type="spellStart"/>
            <w:r w:rsidRPr="00F92740">
              <w:rPr>
                <w:rFonts w:ascii="Arial" w:hAnsi="Arial" w:cs="Arial"/>
                <w:sz w:val="18"/>
                <w:szCs w:val="18"/>
              </w:rPr>
              <w:t>Transp</w:t>
            </w:r>
            <w:proofErr w:type="spellEnd"/>
            <w:r w:rsidRPr="00F92740">
              <w:rPr>
                <w:rFonts w:ascii="Arial" w:hAnsi="Arial" w:cs="Arial"/>
                <w:sz w:val="18"/>
                <w:szCs w:val="18"/>
              </w:rPr>
              <w:t xml:space="preserve"> 7-705)  See attached list</w:t>
            </w:r>
          </w:p>
        </w:tc>
        <w:tc>
          <w:tcPr>
            <w:tcW w:w="900" w:type="dxa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36" w:type="dxa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5F4B" w:rsidTr="008B32CD">
        <w:trPr>
          <w:trHeight w:val="305"/>
        </w:trPr>
        <w:tc>
          <w:tcPr>
            <w:tcW w:w="1638" w:type="dxa"/>
            <w:shd w:val="clear" w:color="auto" w:fill="EEECE1" w:themeFill="background2"/>
          </w:tcPr>
          <w:p w:rsidR="00CE5F4B" w:rsidRPr="00F92740" w:rsidRDefault="00CE5F4B" w:rsidP="009D38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EEECE1" w:themeFill="background2"/>
          </w:tcPr>
          <w:p w:rsidR="00CE5F4B" w:rsidRPr="00F92740" w:rsidRDefault="00CE5F4B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EECE1" w:themeFill="background2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5F4B" w:rsidTr="008B32CD">
        <w:tc>
          <w:tcPr>
            <w:tcW w:w="1638" w:type="dxa"/>
          </w:tcPr>
          <w:p w:rsidR="00CE5F4B" w:rsidRPr="00F92740" w:rsidRDefault="00CE5F4B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653D" w:rsidRPr="00F92740" w:rsidRDefault="00CA653D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B66" w:rsidRPr="00F92740" w:rsidRDefault="00527B66" w:rsidP="00527B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2740">
              <w:rPr>
                <w:rFonts w:ascii="Arial" w:hAnsi="Arial" w:cs="Arial"/>
                <w:b/>
                <w:sz w:val="18"/>
                <w:szCs w:val="18"/>
              </w:rPr>
              <w:t xml:space="preserve"> YEARS HAVE PASSE</w:t>
            </w:r>
          </w:p>
        </w:tc>
        <w:tc>
          <w:tcPr>
            <w:tcW w:w="5670" w:type="dxa"/>
          </w:tcPr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5F4B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If you were found guilty of one of these charges, you may request an </w:t>
            </w: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expungement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if 10 years have passed after the guilty conviction and the satisfactory completion of the sentence including probation.</w:t>
            </w:r>
          </w:p>
        </w:tc>
        <w:tc>
          <w:tcPr>
            <w:tcW w:w="900" w:type="dxa"/>
          </w:tcPr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10 yrs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Past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900" w:type="dxa"/>
            <w:shd w:val="clear" w:color="auto" w:fill="FFFFFF" w:themeFill="background1"/>
          </w:tcPr>
          <w:p w:rsidR="00CE5F4B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Convic</w:t>
            </w:r>
            <w:proofErr w:type="spellEnd"/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during wait period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936" w:type="dxa"/>
          </w:tcPr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Eligible</w:t>
            </w:r>
          </w:p>
          <w:p w:rsidR="00EA530C" w:rsidRPr="00F92740" w:rsidRDefault="00EA530C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</w:tr>
      <w:tr w:rsidR="00CE5F4B" w:rsidTr="008B32CD">
        <w:tc>
          <w:tcPr>
            <w:tcW w:w="1638" w:type="dxa"/>
          </w:tcPr>
          <w:p w:rsidR="00CE5F4B" w:rsidRPr="00F92740" w:rsidRDefault="00CE5F4B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740" w:rsidRDefault="00F92740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C07683" w:rsidRPr="00F92740" w:rsidRDefault="00C07683" w:rsidP="009D3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Guilty</w:t>
            </w:r>
          </w:p>
        </w:tc>
        <w:tc>
          <w:tcPr>
            <w:tcW w:w="5670" w:type="dxa"/>
          </w:tcPr>
          <w:p w:rsidR="00CE5F4B" w:rsidRPr="00F92740" w:rsidRDefault="00CE5F4B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disorderly intoxication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possessing a controlled dangerous substance (CDC)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use or possession of drug paraphernalia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unauthorized manufacturing, distributing, or dispensing of a controlled dangerous substance (CDC)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breaking and entering a motor vehicle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general theft (Md. Code, Criminal Law 7-104) See attached list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littering and illegal dumping</w:t>
            </w:r>
          </w:p>
          <w:p w:rsidR="00C07683" w:rsidRPr="00F92740" w:rsidRDefault="00C07683" w:rsidP="00C076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disturbing the peace and disorderly conduct</w:t>
            </w:r>
          </w:p>
        </w:tc>
        <w:tc>
          <w:tcPr>
            <w:tcW w:w="900" w:type="dxa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CE5F4B" w:rsidRPr="00F92740" w:rsidRDefault="00CE5F4B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07683" w:rsidTr="00CA653D">
        <w:tc>
          <w:tcPr>
            <w:tcW w:w="1638" w:type="dxa"/>
            <w:shd w:val="clear" w:color="auto" w:fill="EEECE1" w:themeFill="background2"/>
          </w:tcPr>
          <w:p w:rsidR="00C07683" w:rsidRPr="00F92740" w:rsidRDefault="00C07683" w:rsidP="009D38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EEECE1" w:themeFill="background2"/>
          </w:tcPr>
          <w:p w:rsidR="00C07683" w:rsidRPr="00F92740" w:rsidRDefault="00C07683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C07683" w:rsidRPr="00F92740" w:rsidRDefault="00C07683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C07683" w:rsidRPr="00F92740" w:rsidRDefault="00C07683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EECE1" w:themeFill="background2"/>
          </w:tcPr>
          <w:p w:rsidR="00C07683" w:rsidRPr="00F92740" w:rsidRDefault="00C07683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A653D" w:rsidTr="008B32CD">
        <w:tc>
          <w:tcPr>
            <w:tcW w:w="1638" w:type="dxa"/>
          </w:tcPr>
          <w:p w:rsidR="00CA653D" w:rsidRPr="00F92740" w:rsidRDefault="00CA653D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B66" w:rsidRPr="00F92740" w:rsidRDefault="00527B66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B66" w:rsidRPr="00F92740" w:rsidRDefault="00527B66" w:rsidP="00527B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92740">
              <w:rPr>
                <w:rFonts w:ascii="Arial" w:hAnsi="Arial" w:cs="Arial"/>
                <w:b/>
                <w:sz w:val="18"/>
                <w:szCs w:val="18"/>
              </w:rPr>
              <w:t xml:space="preserve"> YEARS HAVE PASSED</w:t>
            </w:r>
          </w:p>
        </w:tc>
        <w:tc>
          <w:tcPr>
            <w:tcW w:w="5670" w:type="dxa"/>
          </w:tcPr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653D" w:rsidRPr="00F92740" w:rsidRDefault="00CA653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If you were found guilty of </w:t>
            </w: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oone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of these charges, you may request an </w:t>
            </w: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expungement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if 15 have passed after the guilty conviction and the satisfactory completion of the sentence including probation.</w:t>
            </w:r>
          </w:p>
        </w:tc>
        <w:tc>
          <w:tcPr>
            <w:tcW w:w="900" w:type="dxa"/>
          </w:tcPr>
          <w:p w:rsidR="00CA653D" w:rsidRPr="00F92740" w:rsidRDefault="00CA653D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CA653D" w:rsidRPr="00F92740" w:rsidRDefault="00CA653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15 yrs</w:t>
            </w:r>
          </w:p>
          <w:p w:rsidR="00CA653D" w:rsidRPr="00F92740" w:rsidRDefault="00CA653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Past</w:t>
            </w:r>
          </w:p>
          <w:p w:rsidR="00CA653D" w:rsidRPr="00F92740" w:rsidRDefault="00CA653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900" w:type="dxa"/>
            <w:shd w:val="clear" w:color="auto" w:fill="FFFFFF" w:themeFill="background1"/>
          </w:tcPr>
          <w:p w:rsidR="00CA653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Convic</w:t>
            </w:r>
            <w:proofErr w:type="spellEnd"/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during 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wait 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2740">
              <w:rPr>
                <w:rFonts w:ascii="Arial" w:hAnsi="Arial" w:cs="Arial"/>
                <w:b/>
                <w:sz w:val="18"/>
                <w:szCs w:val="18"/>
              </w:rPr>
              <w:t>periodY</w:t>
            </w:r>
            <w:proofErr w:type="spellEnd"/>
            <w:r w:rsidRPr="00F92740">
              <w:rPr>
                <w:rFonts w:ascii="Arial" w:hAnsi="Arial" w:cs="Arial"/>
                <w:b/>
                <w:sz w:val="18"/>
                <w:szCs w:val="18"/>
              </w:rPr>
              <w:t>/N</w:t>
            </w:r>
          </w:p>
        </w:tc>
        <w:tc>
          <w:tcPr>
            <w:tcW w:w="936" w:type="dxa"/>
          </w:tcPr>
          <w:p w:rsidR="00CA653D" w:rsidRPr="00F92740" w:rsidRDefault="00CA653D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Eligible</w:t>
            </w:r>
          </w:p>
          <w:p w:rsidR="008B32CD" w:rsidRPr="00F92740" w:rsidRDefault="008B32CD" w:rsidP="00C07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</w:tr>
      <w:tr w:rsidR="00CA653D" w:rsidTr="008B32CD">
        <w:tc>
          <w:tcPr>
            <w:tcW w:w="1638" w:type="dxa"/>
          </w:tcPr>
          <w:p w:rsidR="00CA653D" w:rsidRPr="00F92740" w:rsidRDefault="00CA653D" w:rsidP="009D3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653D" w:rsidRPr="00F92740" w:rsidRDefault="00CA653D" w:rsidP="009D3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b/>
                <w:sz w:val="18"/>
                <w:szCs w:val="18"/>
              </w:rPr>
              <w:t>Guilty</w:t>
            </w:r>
          </w:p>
        </w:tc>
        <w:tc>
          <w:tcPr>
            <w:tcW w:w="5670" w:type="dxa"/>
          </w:tcPr>
          <w:p w:rsidR="00CA653D" w:rsidRPr="00F92740" w:rsidRDefault="00CA653D" w:rsidP="00CA65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653D" w:rsidRPr="00F92740" w:rsidRDefault="00CA653D" w:rsidP="00CA653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assault in the second degree</w:t>
            </w:r>
          </w:p>
          <w:p w:rsidR="00CA653D" w:rsidRPr="00F92740" w:rsidRDefault="00CA653D" w:rsidP="00CA653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violation of an interim</w:t>
            </w:r>
            <w:r w:rsidRPr="00F927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2740">
              <w:rPr>
                <w:rFonts w:ascii="Arial" w:hAnsi="Arial" w:cs="Arial"/>
                <w:sz w:val="18"/>
                <w:szCs w:val="18"/>
              </w:rPr>
              <w:t>peace order</w:t>
            </w:r>
          </w:p>
          <w:p w:rsidR="00CA653D" w:rsidRPr="00F92740" w:rsidRDefault="00CA653D" w:rsidP="00CA653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92740">
              <w:rPr>
                <w:rFonts w:ascii="Arial" w:hAnsi="Arial" w:cs="Arial"/>
                <w:sz w:val="18"/>
                <w:szCs w:val="18"/>
              </w:rPr>
              <w:t>failure to comply with a protective order</w:t>
            </w:r>
          </w:p>
        </w:tc>
        <w:tc>
          <w:tcPr>
            <w:tcW w:w="900" w:type="dxa"/>
          </w:tcPr>
          <w:p w:rsidR="00CA653D" w:rsidRPr="00F92740" w:rsidRDefault="00CA653D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A653D" w:rsidRPr="00F92740" w:rsidRDefault="00CA653D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36" w:type="dxa"/>
          </w:tcPr>
          <w:p w:rsidR="00CA653D" w:rsidRPr="00F92740" w:rsidRDefault="00CA653D" w:rsidP="00C07C9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C07C9E" w:rsidRPr="00C07C9E" w:rsidRDefault="00C07C9E" w:rsidP="00C07C9E">
      <w:pPr>
        <w:jc w:val="center"/>
        <w:rPr>
          <w:rFonts w:ascii="Arial Black" w:hAnsi="Arial Black"/>
          <w:sz w:val="24"/>
          <w:szCs w:val="24"/>
        </w:rPr>
      </w:pPr>
    </w:p>
    <w:sectPr w:rsidR="00C07C9E" w:rsidRPr="00C07C9E" w:rsidSect="005338EB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920"/>
    <w:multiLevelType w:val="hybridMultilevel"/>
    <w:tmpl w:val="6710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3AE4"/>
    <w:multiLevelType w:val="hybridMultilevel"/>
    <w:tmpl w:val="DDDE2E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1886930"/>
    <w:multiLevelType w:val="hybridMultilevel"/>
    <w:tmpl w:val="581C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E0BCA"/>
    <w:multiLevelType w:val="hybridMultilevel"/>
    <w:tmpl w:val="EA52C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487279"/>
    <w:multiLevelType w:val="hybridMultilevel"/>
    <w:tmpl w:val="D4C4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A30B3"/>
    <w:multiLevelType w:val="hybridMultilevel"/>
    <w:tmpl w:val="F924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D380C"/>
    <w:multiLevelType w:val="hybridMultilevel"/>
    <w:tmpl w:val="B8A2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36EC8"/>
    <w:multiLevelType w:val="hybridMultilevel"/>
    <w:tmpl w:val="8C16D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C07C9E"/>
    <w:rsid w:val="00004F33"/>
    <w:rsid w:val="000A4062"/>
    <w:rsid w:val="000E5EEE"/>
    <w:rsid w:val="001047B4"/>
    <w:rsid w:val="0012224D"/>
    <w:rsid w:val="001461F0"/>
    <w:rsid w:val="001474C6"/>
    <w:rsid w:val="001577FA"/>
    <w:rsid w:val="00163A04"/>
    <w:rsid w:val="00172DE7"/>
    <w:rsid w:val="001862FD"/>
    <w:rsid w:val="001A1715"/>
    <w:rsid w:val="001C7BA0"/>
    <w:rsid w:val="001D70B8"/>
    <w:rsid w:val="001F07B7"/>
    <w:rsid w:val="00221F35"/>
    <w:rsid w:val="002367D7"/>
    <w:rsid w:val="00265B7D"/>
    <w:rsid w:val="00273D66"/>
    <w:rsid w:val="002B1090"/>
    <w:rsid w:val="002D5C0B"/>
    <w:rsid w:val="002F0764"/>
    <w:rsid w:val="00314785"/>
    <w:rsid w:val="00336064"/>
    <w:rsid w:val="00364C09"/>
    <w:rsid w:val="0036753E"/>
    <w:rsid w:val="00376751"/>
    <w:rsid w:val="0038277E"/>
    <w:rsid w:val="0038457F"/>
    <w:rsid w:val="00385C19"/>
    <w:rsid w:val="003A4C09"/>
    <w:rsid w:val="003D4299"/>
    <w:rsid w:val="003D5DBC"/>
    <w:rsid w:val="00401EDE"/>
    <w:rsid w:val="00404791"/>
    <w:rsid w:val="00424CB2"/>
    <w:rsid w:val="00433442"/>
    <w:rsid w:val="0044117E"/>
    <w:rsid w:val="004A0C60"/>
    <w:rsid w:val="004A1530"/>
    <w:rsid w:val="004E0FA1"/>
    <w:rsid w:val="004F0CD1"/>
    <w:rsid w:val="0051015B"/>
    <w:rsid w:val="00527B66"/>
    <w:rsid w:val="00532111"/>
    <w:rsid w:val="005338EB"/>
    <w:rsid w:val="00545600"/>
    <w:rsid w:val="00575432"/>
    <w:rsid w:val="005865D1"/>
    <w:rsid w:val="005C23C3"/>
    <w:rsid w:val="00622F21"/>
    <w:rsid w:val="00667BB3"/>
    <w:rsid w:val="00692954"/>
    <w:rsid w:val="006A26FC"/>
    <w:rsid w:val="006D0AF9"/>
    <w:rsid w:val="006D5767"/>
    <w:rsid w:val="006F24BD"/>
    <w:rsid w:val="00722A4B"/>
    <w:rsid w:val="007768F2"/>
    <w:rsid w:val="007836D5"/>
    <w:rsid w:val="00790E9C"/>
    <w:rsid w:val="007A467C"/>
    <w:rsid w:val="007B61D0"/>
    <w:rsid w:val="007C05B0"/>
    <w:rsid w:val="007C316A"/>
    <w:rsid w:val="007F175C"/>
    <w:rsid w:val="007F3BCD"/>
    <w:rsid w:val="00846624"/>
    <w:rsid w:val="008562FD"/>
    <w:rsid w:val="008602F3"/>
    <w:rsid w:val="00863484"/>
    <w:rsid w:val="0087597A"/>
    <w:rsid w:val="008B32CD"/>
    <w:rsid w:val="008C02B4"/>
    <w:rsid w:val="008C0A35"/>
    <w:rsid w:val="008D45A3"/>
    <w:rsid w:val="00932CEB"/>
    <w:rsid w:val="00971D71"/>
    <w:rsid w:val="00976BF9"/>
    <w:rsid w:val="00977CE3"/>
    <w:rsid w:val="009854A9"/>
    <w:rsid w:val="0099476F"/>
    <w:rsid w:val="009A3C0B"/>
    <w:rsid w:val="009B3DF4"/>
    <w:rsid w:val="009C28C7"/>
    <w:rsid w:val="009D28F1"/>
    <w:rsid w:val="009D3810"/>
    <w:rsid w:val="009D6569"/>
    <w:rsid w:val="009E21F2"/>
    <w:rsid w:val="009F0F73"/>
    <w:rsid w:val="00A001B0"/>
    <w:rsid w:val="00A57F99"/>
    <w:rsid w:val="00AA238C"/>
    <w:rsid w:val="00AC7F4D"/>
    <w:rsid w:val="00B032B5"/>
    <w:rsid w:val="00B172B2"/>
    <w:rsid w:val="00B64AE3"/>
    <w:rsid w:val="00B67C40"/>
    <w:rsid w:val="00B760A2"/>
    <w:rsid w:val="00B85689"/>
    <w:rsid w:val="00B9198F"/>
    <w:rsid w:val="00BA617D"/>
    <w:rsid w:val="00C0271F"/>
    <w:rsid w:val="00C07683"/>
    <w:rsid w:val="00C07C9E"/>
    <w:rsid w:val="00C726D4"/>
    <w:rsid w:val="00C76377"/>
    <w:rsid w:val="00C927AA"/>
    <w:rsid w:val="00CA653D"/>
    <w:rsid w:val="00CD1785"/>
    <w:rsid w:val="00CD19F9"/>
    <w:rsid w:val="00CE5F4B"/>
    <w:rsid w:val="00D04ADC"/>
    <w:rsid w:val="00D2346D"/>
    <w:rsid w:val="00D41D01"/>
    <w:rsid w:val="00D43005"/>
    <w:rsid w:val="00DA19CE"/>
    <w:rsid w:val="00DD1691"/>
    <w:rsid w:val="00DD52B3"/>
    <w:rsid w:val="00E5613F"/>
    <w:rsid w:val="00E57B60"/>
    <w:rsid w:val="00E66A45"/>
    <w:rsid w:val="00E93564"/>
    <w:rsid w:val="00EA530C"/>
    <w:rsid w:val="00EE22CC"/>
    <w:rsid w:val="00EE4830"/>
    <w:rsid w:val="00F309D5"/>
    <w:rsid w:val="00F84372"/>
    <w:rsid w:val="00F92740"/>
    <w:rsid w:val="00F93E04"/>
    <w:rsid w:val="00FA03B5"/>
    <w:rsid w:val="00FC18C9"/>
    <w:rsid w:val="00FD2A8F"/>
    <w:rsid w:val="00FE0B9D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ptrettien</dc:creator>
  <cp:lastModifiedBy>ptrettien</cp:lastModifiedBy>
  <cp:revision>3</cp:revision>
  <dcterms:created xsi:type="dcterms:W3CDTF">2018-05-09T20:15:00Z</dcterms:created>
  <dcterms:modified xsi:type="dcterms:W3CDTF">2018-05-09T20:15:00Z</dcterms:modified>
</cp:coreProperties>
</file>